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D2" w:rsidRPr="008A751B" w:rsidRDefault="00CF7BD2" w:rsidP="00CF7BD2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t>INFORMACE PŘED PŘIJETÍM A SEZNAM DOPORUČENÝCH VĚCÍ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Doporučujeme, aby v den přijetí klienta do Domova byl po celou dobu přítomen rodinný příslušník nebo jiná blízká osoba. Přítomnost blízké osoby může dopomoci ke zvýšení pocitu bezpečí a k zahájení úspěšného procesu adaptace na nové sociální prostředí.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Přijetí klienta probíhá ve všední dny v dopoledních ho</w:t>
      </w:r>
      <w:r>
        <w:rPr>
          <w:rFonts w:ascii="Century Gothic" w:hAnsi="Century Gothic"/>
          <w:sz w:val="22"/>
          <w:szCs w:val="22"/>
        </w:rPr>
        <w:t>dinách, optimálně do 11:00 hod.</w:t>
      </w:r>
      <w:r w:rsidRPr="008A751B">
        <w:rPr>
          <w:rFonts w:ascii="Century Gothic" w:hAnsi="Century Gothic"/>
          <w:sz w:val="22"/>
          <w:szCs w:val="22"/>
        </w:rPr>
        <w:t xml:space="preserve"> Změna je možná po domluvě se sociální pracovnicí Domova.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Před nástupem do </w:t>
      </w:r>
      <w:proofErr w:type="spellStart"/>
      <w:r w:rsidRPr="008A751B">
        <w:rPr>
          <w:rFonts w:ascii="Century Gothic" w:hAnsi="Century Gothic"/>
          <w:sz w:val="22"/>
          <w:szCs w:val="22"/>
        </w:rPr>
        <w:t>SeniorCentra</w:t>
      </w:r>
      <w:proofErr w:type="spellEnd"/>
      <w:r w:rsidRPr="008A751B">
        <w:rPr>
          <w:rFonts w:ascii="Century Gothic" w:hAnsi="Century Gothic"/>
          <w:sz w:val="22"/>
          <w:szCs w:val="22"/>
        </w:rPr>
        <w:t xml:space="preserve"> doporučujeme (platí pro služby Domov pro seniory, Domov se zvláštním režimem), aby klient vypořádal své osobní záležitosti, jako je např. odhlášení inkasa, dodavatelů energií, televizních poplatků, tisku, místních poplatků a na adrese trvalého bydliště.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t>Seznam doporučených osobních věcí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t xml:space="preserve">Oblečení: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Vezměte si věci, na které jste zvyklí, které máte rádi a cítíte se v nich dobře. Doporučujeme Vám oblečení z bavlněných materiálů. Prosím, mějte připravené oblečení na všechna roční období (platí pro služby Domov pro seniory, Domov se zvláštním režimem). Zvolte vhodnou domácí i venkovní obuv, její správný výběr významně snižuje riziko pádu.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Označit oblečení si můžete</w:t>
      </w:r>
      <w:r w:rsidRPr="008A751B">
        <w:rPr>
          <w:rFonts w:ascii="Century Gothic" w:hAnsi="Century Gothic"/>
          <w:sz w:val="22"/>
          <w:szCs w:val="22"/>
        </w:rPr>
        <w:t xml:space="preserve"> nechat u nás štítkovačem. Bližší informace Vám poskytnou naše sociální pracovníci.</w:t>
      </w:r>
      <w:r>
        <w:rPr>
          <w:rFonts w:ascii="Century Gothic" w:hAnsi="Century Gothic"/>
          <w:sz w:val="22"/>
          <w:szCs w:val="22"/>
        </w:rPr>
        <w:t xml:space="preserve"> Můžete si prádlo označit i sami</w:t>
      </w:r>
      <w:r w:rsidRPr="008A751B">
        <w:rPr>
          <w:rFonts w:ascii="Century Gothic" w:hAnsi="Century Gothic"/>
          <w:sz w:val="22"/>
          <w:szCs w:val="22"/>
        </w:rPr>
        <w:t xml:space="preserve"> na skrytém místě (př. našít jmenovku na skrytém místě), abychom mohli zajistit rychlý návrat veškerého oblečení zpět. Pozor na označení, které by mohlo být viditelné nebo znehodnotit oblečení (př. označení fixem).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t>Osobní doklady: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Platný občanský průkaz a Průkaz zdravotní pojišťovny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Průkaz diabetika nebo jiný doklady o návštěvách u odborných lékařů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Rozhodnutí o přiznání příspěvku na péči (dle zákona o sociálních službách č. 108/2006 Sb.)</w:t>
      </w:r>
    </w:p>
    <w:p w:rsidR="00CF7BD2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Kopie dokladů v případě, že je žadatel omezen ve svéprávnosti, příp. kopie ověřené plné moci</w:t>
      </w:r>
    </w:p>
    <w:p w:rsidR="00CF7BD2" w:rsidRDefault="00CF7BD2" w:rsidP="00CF7BD2">
      <w:pPr>
        <w:pStyle w:val="Odstavecseseznamem"/>
        <w:spacing w:after="120" w:line="276" w:lineRule="auto"/>
        <w:jc w:val="both"/>
        <w:rPr>
          <w:rFonts w:ascii="Century Gothic" w:hAnsi="Century Gothic"/>
        </w:rPr>
      </w:pPr>
    </w:p>
    <w:p w:rsidR="00CF7BD2" w:rsidRPr="008A751B" w:rsidRDefault="00CF7BD2" w:rsidP="00CF7BD2">
      <w:pPr>
        <w:pStyle w:val="Odstavecseseznamem"/>
        <w:spacing w:after="120" w:line="276" w:lineRule="auto"/>
        <w:jc w:val="both"/>
        <w:rPr>
          <w:rFonts w:ascii="Century Gothic" w:hAnsi="Century Gothic"/>
        </w:rPr>
      </w:pPr>
    </w:p>
    <w:p w:rsidR="00CF7BD2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lastRenderedPageBreak/>
        <w:t xml:space="preserve">Zdravotní pomůcky a kosmetika: 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Budete pravděpodobně potřebovat stejné věci, jako byste potřeboval ve svém domácím prostředí (hygienické potřeby, zdravotnické potřeby, kompenzační pomůcky apod.). SeneCura poskytuje svým klientům ložní prádlo, ručníky, žínky, toaletní papír a osobní kosmetiku.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inkontinenční pomůcky (datum poslední objednávky přes zdravotní pojišťovnu)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kompenzační pomůcky např. transportní invalidní vozík nebo židle na vyprazdňování u lůžka  (pouze byly-li Vám předepsány), berle, vycházková hůl, chodítko, naslouchadlo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zubní protéza (kelímek na odkládání)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Brýle + pouzdro (označené)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Potřeby na holení (vhodný je elektrický holící strojek)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Toaletní potřeby dle svých zvyklostí (zubní kartáček a pasta, hřeben, pleťový krém, toaletní voda, pinzeta, nůžky na nehty) v toaletní tašce</w:t>
      </w:r>
    </w:p>
    <w:p w:rsidR="00CF7BD2" w:rsidRPr="008A751B" w:rsidRDefault="00CF7BD2" w:rsidP="00CF7BD2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Century Gothic" w:hAnsi="Century Gothic"/>
        </w:rPr>
      </w:pPr>
      <w:r w:rsidRPr="008A751B">
        <w:rPr>
          <w:rFonts w:ascii="Century Gothic" w:hAnsi="Century Gothic"/>
        </w:rPr>
        <w:t>Kosmetické potřeby, které jste dosud používal/a (parfémy, líčení, voda po holení apod.)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V </w:t>
      </w:r>
      <w:proofErr w:type="spellStart"/>
      <w:r w:rsidRPr="008A751B">
        <w:rPr>
          <w:rFonts w:ascii="Century Gothic" w:hAnsi="Century Gothic"/>
          <w:sz w:val="22"/>
          <w:szCs w:val="22"/>
        </w:rPr>
        <w:t>SeniorCentru</w:t>
      </w:r>
      <w:proofErr w:type="spellEnd"/>
      <w:r w:rsidRPr="008A751B">
        <w:rPr>
          <w:rFonts w:ascii="Century Gothic" w:hAnsi="Century Gothic"/>
          <w:sz w:val="22"/>
          <w:szCs w:val="22"/>
        </w:rPr>
        <w:t xml:space="preserve"> jsou v rámci ubytování poskytovány služby prádelny, která zajišťuje praní prádla a žehlení osobního prádla, drobné opravy a úklid oblečení na pokoj.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Těšíme se na Vás.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8A751B">
        <w:rPr>
          <w:rFonts w:ascii="Century Gothic" w:hAnsi="Century Gothic"/>
          <w:b/>
          <w:sz w:val="22"/>
          <w:szCs w:val="22"/>
        </w:rPr>
        <w:t>V případě dalších dotazů neváhejte kontaktovat sociální pracovnici a asistentku sociální pracovnice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Bc. Anna </w:t>
      </w:r>
      <w:proofErr w:type="spellStart"/>
      <w:r>
        <w:rPr>
          <w:rFonts w:ascii="Century Gothic" w:hAnsi="Century Gothic"/>
          <w:sz w:val="22"/>
          <w:szCs w:val="22"/>
        </w:rPr>
        <w:t>Korábková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DiS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Tel: 602 405 622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e-mail: socialni1.kolin@senecura.cz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Web: </w:t>
      </w:r>
      <w:hyperlink r:id="rId8" w:history="1">
        <w:r w:rsidRPr="008A751B">
          <w:rPr>
            <w:rStyle w:val="Hypertextovodkaz"/>
            <w:rFonts w:ascii="Century Gothic" w:hAnsi="Century Gothic"/>
            <w:sz w:val="22"/>
            <w:szCs w:val="22"/>
          </w:rPr>
          <w:t>https://kolin.senecura.cz/kontakt/</w:t>
        </w:r>
      </w:hyperlink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Ing. Michaela Martinková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Tel: 724 900 350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>e-mail: socialni2.kolin@senecura.cz</w:t>
      </w:r>
    </w:p>
    <w:p w:rsidR="00CF7BD2" w:rsidRPr="008A751B" w:rsidRDefault="00CF7BD2" w:rsidP="00CF7BD2">
      <w:pPr>
        <w:spacing w:after="120"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8A751B">
        <w:rPr>
          <w:rFonts w:ascii="Century Gothic" w:hAnsi="Century Gothic"/>
          <w:sz w:val="22"/>
          <w:szCs w:val="22"/>
        </w:rPr>
        <w:t xml:space="preserve">Web: </w:t>
      </w:r>
      <w:hyperlink r:id="rId9" w:history="1">
        <w:r w:rsidRPr="008A751B">
          <w:rPr>
            <w:rStyle w:val="Hypertextovodkaz"/>
            <w:rFonts w:ascii="Century Gothic" w:hAnsi="Century Gothic"/>
            <w:sz w:val="22"/>
            <w:szCs w:val="22"/>
          </w:rPr>
          <w:t>https://kolin.senecura.cz/kontakt/</w:t>
        </w:r>
      </w:hyperlink>
    </w:p>
    <w:p w:rsidR="00375B85" w:rsidRPr="00CF7BD2" w:rsidRDefault="00FE5565" w:rsidP="00CF7BD2">
      <w:pPr>
        <w:rPr>
          <w:sz w:val="22"/>
          <w:szCs w:val="22"/>
        </w:rPr>
      </w:pPr>
      <w:bookmarkStart w:id="0" w:name="_GoBack"/>
      <w:bookmarkEnd w:id="0"/>
      <w:r w:rsidRPr="00CF7BD2">
        <w:t xml:space="preserve"> </w:t>
      </w:r>
    </w:p>
    <w:sectPr w:rsidR="00375B85" w:rsidRPr="00CF7BD2" w:rsidSect="00991B51">
      <w:headerReference w:type="default" r:id="rId10"/>
      <w:footerReference w:type="default" r:id="rId11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D2" w:rsidRDefault="00CF7BD2" w:rsidP="00585905">
      <w:r>
        <w:separator/>
      </w:r>
    </w:p>
  </w:endnote>
  <w:endnote w:type="continuationSeparator" w:id="0">
    <w:p w:rsidR="00CF7BD2" w:rsidRDefault="00CF7BD2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D2" w:rsidRDefault="00CF7BD2" w:rsidP="00585905">
      <w:r>
        <w:separator/>
      </w:r>
    </w:p>
  </w:footnote>
  <w:footnote w:type="continuationSeparator" w:id="0">
    <w:p w:rsidR="00CF7BD2" w:rsidRDefault="00CF7BD2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6E7116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51393F" wp14:editId="66C1C7AF">
          <wp:simplePos x="0" y="0"/>
          <wp:positionH relativeFrom="column">
            <wp:posOffset>-624768</wp:posOffset>
          </wp:positionH>
          <wp:positionV relativeFrom="paragraph">
            <wp:posOffset>-154782</wp:posOffset>
          </wp:positionV>
          <wp:extent cx="7558268" cy="10688459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68" cy="1068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A85"/>
    <w:multiLevelType w:val="hybridMultilevel"/>
    <w:tmpl w:val="B57CE2E2"/>
    <w:lvl w:ilvl="0" w:tplc="BFEA1054">
      <w:numFmt w:val="bullet"/>
      <w:lvlText w:val="•"/>
      <w:lvlJc w:val="left"/>
      <w:pPr>
        <w:ind w:left="1070" w:hanging="71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91397"/>
    <w:rsid w:val="001168C5"/>
    <w:rsid w:val="0012124C"/>
    <w:rsid w:val="00162BBD"/>
    <w:rsid w:val="00171F92"/>
    <w:rsid w:val="00173F8C"/>
    <w:rsid w:val="001B775D"/>
    <w:rsid w:val="00233426"/>
    <w:rsid w:val="00247327"/>
    <w:rsid w:val="002853F7"/>
    <w:rsid w:val="002B04BD"/>
    <w:rsid w:val="00375B85"/>
    <w:rsid w:val="00425AD2"/>
    <w:rsid w:val="00426EB7"/>
    <w:rsid w:val="00460973"/>
    <w:rsid w:val="004773A2"/>
    <w:rsid w:val="004F0651"/>
    <w:rsid w:val="00585905"/>
    <w:rsid w:val="005A6C18"/>
    <w:rsid w:val="006472AA"/>
    <w:rsid w:val="006706EA"/>
    <w:rsid w:val="0069225D"/>
    <w:rsid w:val="006A7F43"/>
    <w:rsid w:val="006E21A1"/>
    <w:rsid w:val="006E5FF4"/>
    <w:rsid w:val="006E7116"/>
    <w:rsid w:val="006F34B5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6B86"/>
    <w:rsid w:val="00991B51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65403"/>
    <w:rsid w:val="00BF6C75"/>
    <w:rsid w:val="00C025D8"/>
    <w:rsid w:val="00C332A2"/>
    <w:rsid w:val="00C87177"/>
    <w:rsid w:val="00C97DAA"/>
    <w:rsid w:val="00CC393A"/>
    <w:rsid w:val="00CE73D7"/>
    <w:rsid w:val="00CF7BD2"/>
    <w:rsid w:val="00D37B7C"/>
    <w:rsid w:val="00D42E95"/>
    <w:rsid w:val="00D612E2"/>
    <w:rsid w:val="00E773DB"/>
    <w:rsid w:val="00E92697"/>
    <w:rsid w:val="00EA3F46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6F08"/>
  <w14:defaultImageDpi w14:val="32767"/>
  <w15:chartTrackingRefBased/>
  <w15:docId w15:val="{6F0559D9-5C01-4FF5-88A3-2FAB925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CF7BD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in.senecura.cz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lin.senecura.cz/kontak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362E5-029C-45AD-A289-0392D77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Socialni2 [SeneCura CZ]</dc:creator>
  <cp:keywords/>
  <cp:lastModifiedBy>Kolin Socialni2 [SeneCura CZ]</cp:lastModifiedBy>
  <cp:revision>1</cp:revision>
  <cp:lastPrinted>2018-04-05T12:19:00Z</cp:lastPrinted>
  <dcterms:created xsi:type="dcterms:W3CDTF">2024-05-06T11:07:00Z</dcterms:created>
  <dcterms:modified xsi:type="dcterms:W3CDTF">2024-05-06T11:07:00Z</dcterms:modified>
</cp:coreProperties>
</file>